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2D" w:rsidRPr="001D25FA" w:rsidRDefault="00302E8A" w:rsidP="00302E8A">
      <w:pPr>
        <w:jc w:val="center"/>
        <w:rPr>
          <w:b/>
          <w:sz w:val="28"/>
          <w:lang w:val="es-ES"/>
        </w:rPr>
      </w:pPr>
      <w:r w:rsidRPr="001D25FA">
        <w:rPr>
          <w:b/>
          <w:sz w:val="28"/>
          <w:lang w:val="es-ES"/>
        </w:rPr>
        <w:t>CÓDIGO DISCIPLINARIO I.E “JOSE PARDO”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355"/>
        <w:gridCol w:w="1912"/>
        <w:gridCol w:w="5659"/>
      </w:tblGrid>
      <w:tr w:rsidR="00302E8A" w:rsidRPr="00302E8A" w:rsidTr="001D25FA">
        <w:tc>
          <w:tcPr>
            <w:tcW w:w="8926" w:type="dxa"/>
            <w:gridSpan w:val="3"/>
            <w:shd w:val="clear" w:color="auto" w:fill="FFFF00"/>
          </w:tcPr>
          <w:p w:rsidR="00302E8A" w:rsidRPr="001D25FA" w:rsidRDefault="00302E8A" w:rsidP="00302E8A">
            <w:pPr>
              <w:jc w:val="center"/>
              <w:rPr>
                <w:rFonts w:cstheme="minorHAnsi"/>
                <w:b/>
                <w:lang w:val="es-ES"/>
              </w:rPr>
            </w:pPr>
            <w:r w:rsidRPr="001D25FA">
              <w:rPr>
                <w:rFonts w:cstheme="minorHAnsi"/>
                <w:b/>
                <w:lang w:val="es-ES"/>
              </w:rPr>
              <w:t xml:space="preserve">TIPO DE SANCIONES DISCIPLINARIAS </w:t>
            </w:r>
          </w:p>
        </w:tc>
      </w:tr>
      <w:tr w:rsidR="0068635F" w:rsidRPr="00302E8A" w:rsidTr="0068635F">
        <w:tc>
          <w:tcPr>
            <w:tcW w:w="8926" w:type="dxa"/>
            <w:gridSpan w:val="3"/>
          </w:tcPr>
          <w:p w:rsidR="0068635F" w:rsidRPr="0068635F" w:rsidRDefault="0068635F" w:rsidP="001D25FA">
            <w:pPr>
              <w:rPr>
                <w:rFonts w:cstheme="minorHAnsi"/>
                <w:lang w:val="es-ES"/>
              </w:rPr>
            </w:pPr>
            <w:r w:rsidRPr="006863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  <w:t>Esto significa que se debe comunicar al estudiante, de manera clara, las razones por las cuales ha sido sancionado. Ello, por cuanto el régimen disciplinario tiene un propósito formativo y conocer exactamente cuál fue su falta le permitirá reflexionar sobre su conducta y evitar incurrir en ella nuevamente. Además le permitirá al estudiante ejercer correctamente su derecho de defensa.</w:t>
            </w:r>
          </w:p>
        </w:tc>
      </w:tr>
      <w:tr w:rsidR="00302E8A" w:rsidRPr="00302E8A" w:rsidTr="0068635F">
        <w:tc>
          <w:tcPr>
            <w:tcW w:w="1355" w:type="dxa"/>
          </w:tcPr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302E8A" w:rsidRPr="001D25FA" w:rsidRDefault="00302E8A" w:rsidP="00302E8A">
            <w:pPr>
              <w:rPr>
                <w:rFonts w:cstheme="minorHAnsi"/>
                <w:b/>
                <w:lang w:val="es-ES"/>
              </w:rPr>
            </w:pPr>
            <w:r w:rsidRPr="001D25FA">
              <w:rPr>
                <w:rFonts w:cstheme="minorHAnsi"/>
                <w:b/>
                <w:lang w:val="es-ES"/>
              </w:rPr>
              <w:t xml:space="preserve">LEVES </w:t>
            </w:r>
          </w:p>
        </w:tc>
        <w:tc>
          <w:tcPr>
            <w:tcW w:w="1912" w:type="dxa"/>
          </w:tcPr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302E8A" w:rsidRPr="001D25FA" w:rsidRDefault="00302E8A" w:rsidP="00302E8A">
            <w:pPr>
              <w:rPr>
                <w:rFonts w:cstheme="minorHAnsi"/>
                <w:b/>
                <w:lang w:val="es-ES"/>
              </w:rPr>
            </w:pPr>
            <w:r w:rsidRPr="001D25FA">
              <w:rPr>
                <w:rFonts w:cstheme="minorHAnsi"/>
                <w:b/>
                <w:lang w:val="es-ES"/>
              </w:rPr>
              <w:t xml:space="preserve">AMONESTACION </w:t>
            </w:r>
          </w:p>
        </w:tc>
        <w:tc>
          <w:tcPr>
            <w:tcW w:w="5659" w:type="dxa"/>
          </w:tcPr>
          <w:p w:rsidR="00302E8A" w:rsidRDefault="00302E8A" w:rsidP="00302E8A">
            <w:pPr>
              <w:rPr>
                <w:rFonts w:cstheme="minorHAnsi"/>
                <w:color w:val="000000"/>
                <w:shd w:val="clear" w:color="auto" w:fill="FFFFFF"/>
                <w:lang w:val="es-ES"/>
              </w:rPr>
            </w:pPr>
            <w:r w:rsidRPr="00302E8A">
              <w:rPr>
                <w:rFonts w:cstheme="minorHAnsi"/>
                <w:color w:val="000000"/>
                <w:shd w:val="clear" w:color="auto" w:fill="FFFFFF"/>
                <w:lang w:val="es-ES"/>
              </w:rPr>
              <w:t>Las faltas leves se sancionan con amonestación, es decir, con un llamado de atención que mediante comunicación escrita se dirigirá al estudiante con copia a su carpeta.</w:t>
            </w:r>
          </w:p>
          <w:p w:rsidR="00302E8A" w:rsidRPr="00302E8A" w:rsidRDefault="00302E8A" w:rsidP="00302E8A">
            <w:pPr>
              <w:rPr>
                <w:rFonts w:cstheme="minorHAnsi"/>
                <w:lang w:val="es-ES"/>
              </w:rPr>
            </w:pPr>
            <w:r w:rsidRPr="00302E8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Para efectos de la proporcionalidad entre la falta y la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sanción, la comisión de disciplina </w:t>
            </w:r>
            <w:r w:rsidRPr="00302E8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 que esté interviniendo deberá determinar, cuando haya lugar a hacerlo, la duración de la sanción.</w:t>
            </w:r>
          </w:p>
        </w:tc>
      </w:tr>
      <w:tr w:rsidR="00302E8A" w:rsidRPr="00302E8A" w:rsidTr="0068635F">
        <w:tc>
          <w:tcPr>
            <w:tcW w:w="1355" w:type="dxa"/>
          </w:tcPr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302E8A" w:rsidRPr="001D25FA" w:rsidRDefault="00302E8A" w:rsidP="00302E8A">
            <w:pPr>
              <w:rPr>
                <w:rFonts w:cstheme="minorHAnsi"/>
                <w:b/>
                <w:lang w:val="es-ES"/>
              </w:rPr>
            </w:pPr>
            <w:r w:rsidRPr="001D25FA">
              <w:rPr>
                <w:rFonts w:cstheme="minorHAnsi"/>
                <w:b/>
                <w:lang w:val="es-ES"/>
              </w:rPr>
              <w:t xml:space="preserve">GRAVES </w:t>
            </w:r>
          </w:p>
        </w:tc>
        <w:tc>
          <w:tcPr>
            <w:tcW w:w="1912" w:type="dxa"/>
          </w:tcPr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302E8A" w:rsidRPr="001D25FA" w:rsidRDefault="00302E8A" w:rsidP="00302E8A">
            <w:pPr>
              <w:rPr>
                <w:rFonts w:cstheme="minorHAnsi"/>
                <w:b/>
                <w:lang w:val="es-ES"/>
              </w:rPr>
            </w:pPr>
            <w:r w:rsidRPr="001D25FA">
              <w:rPr>
                <w:rFonts w:cstheme="minorHAnsi"/>
                <w:b/>
                <w:lang w:val="es-ES"/>
              </w:rPr>
              <w:t xml:space="preserve">SUSPENSIÓN </w:t>
            </w:r>
          </w:p>
        </w:tc>
        <w:tc>
          <w:tcPr>
            <w:tcW w:w="5659" w:type="dxa"/>
          </w:tcPr>
          <w:p w:rsidR="00302E8A" w:rsidRPr="00302E8A" w:rsidRDefault="0068635F" w:rsidP="0068635F">
            <w:pPr>
              <w:pStyle w:val="NormalWeb"/>
              <w:shd w:val="clear" w:color="auto" w:fill="FFFFFF"/>
              <w:spacing w:before="0" w:beforeAutospacing="0" w:after="0" w:afterAutospacing="0"/>
              <w:ind w:firstLine="15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68635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Las faltas graves se sancionan con suspensión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 xml:space="preserve"> temporal, es decir, la suspensión temporal de las actividades académicas </w:t>
            </w:r>
            <w:r w:rsidRPr="0068635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regulares</w:t>
            </w:r>
            <w:r w:rsidRPr="0068635F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 xml:space="preserve"> de la 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 xml:space="preserve">institución educativa que puede ser de un día como mínimo y cinco días como máximo. El número de </w:t>
            </w:r>
            <w:r w:rsidR="008F182D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>días lo</w:t>
            </w:r>
            <w:r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  <w:lang w:val="es-ES"/>
              </w:rPr>
              <w:t xml:space="preserve"> determina la comisión de disciplina. </w:t>
            </w:r>
          </w:p>
        </w:tc>
      </w:tr>
      <w:tr w:rsidR="00302E8A" w:rsidRPr="00302E8A" w:rsidTr="0068635F">
        <w:tc>
          <w:tcPr>
            <w:tcW w:w="1355" w:type="dxa"/>
          </w:tcPr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302E8A" w:rsidRPr="001D25FA" w:rsidRDefault="008F182D" w:rsidP="00302E8A">
            <w:pPr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MUY GRAVES</w:t>
            </w:r>
            <w:r w:rsidR="00302E8A" w:rsidRPr="001D25FA">
              <w:rPr>
                <w:rFonts w:cstheme="minorHAnsi"/>
                <w:b/>
                <w:lang w:val="es-ES"/>
              </w:rPr>
              <w:t xml:space="preserve"> </w:t>
            </w:r>
          </w:p>
        </w:tc>
        <w:tc>
          <w:tcPr>
            <w:tcW w:w="1912" w:type="dxa"/>
          </w:tcPr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1D25FA" w:rsidRPr="001D25FA" w:rsidRDefault="001D25FA" w:rsidP="00302E8A">
            <w:pPr>
              <w:rPr>
                <w:rFonts w:cstheme="minorHAnsi"/>
                <w:b/>
                <w:lang w:val="es-ES"/>
              </w:rPr>
            </w:pPr>
          </w:p>
          <w:p w:rsidR="008F182D" w:rsidRDefault="008F182D" w:rsidP="00302E8A">
            <w:pPr>
              <w:rPr>
                <w:rFonts w:cstheme="minorHAnsi"/>
                <w:b/>
                <w:lang w:val="es-ES"/>
              </w:rPr>
            </w:pPr>
          </w:p>
          <w:p w:rsidR="00302E8A" w:rsidRPr="001D25FA" w:rsidRDefault="008F182D" w:rsidP="00302E8A">
            <w:pPr>
              <w:rPr>
                <w:rFonts w:cstheme="minorHAnsi"/>
                <w:b/>
                <w:lang w:val="es-ES"/>
              </w:rPr>
            </w:pPr>
            <w:bookmarkStart w:id="0" w:name="_GoBack"/>
            <w:bookmarkEnd w:id="0"/>
            <w:r>
              <w:rPr>
                <w:rFonts w:cstheme="minorHAnsi"/>
                <w:b/>
                <w:lang w:val="es-ES"/>
              </w:rPr>
              <w:t>INVITACIÓ</w:t>
            </w:r>
            <w:r w:rsidR="00302E8A" w:rsidRPr="001D25FA">
              <w:rPr>
                <w:rFonts w:cstheme="minorHAnsi"/>
                <w:b/>
                <w:lang w:val="es-ES"/>
              </w:rPr>
              <w:t>N  AL RETIRO DE LA I.E</w:t>
            </w:r>
          </w:p>
        </w:tc>
        <w:tc>
          <w:tcPr>
            <w:tcW w:w="5659" w:type="dxa"/>
          </w:tcPr>
          <w:p w:rsidR="00302E8A" w:rsidRDefault="0068635F" w:rsidP="0068635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</w:pPr>
            <w:r w:rsidRPr="006863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  <w:t>Las faltas graví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  <w:t>simas se sancionan con retiro de la I.E</w:t>
            </w:r>
            <w:r w:rsidRPr="006863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es decir la cancelación definitiva de la </w:t>
            </w:r>
            <w:r w:rsidRPr="0068635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  <w:t>matrícula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ES"/>
              </w:rPr>
              <w:t xml:space="preserve">, esto se hace mediante una invitación al retiro de la institución, las sanciones para estos casos son: </w:t>
            </w:r>
          </w:p>
          <w:p w:rsidR="001D25FA" w:rsidRDefault="0068635F" w:rsidP="0068635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Consumo de bebidas alcohólicas y/o estupefacientes</w:t>
            </w:r>
            <w:r w:rsidR="001D25FA">
              <w:rPr>
                <w:rFonts w:cstheme="minorHAnsi"/>
                <w:lang w:val="es-ES"/>
              </w:rPr>
              <w:t xml:space="preserve"> en la I.E. </w:t>
            </w:r>
            <w:r>
              <w:rPr>
                <w:rFonts w:cstheme="minorHAnsi"/>
                <w:lang w:val="es-ES"/>
              </w:rPr>
              <w:t xml:space="preserve"> </w:t>
            </w:r>
          </w:p>
          <w:p w:rsidR="001D25FA" w:rsidRDefault="001D25FA" w:rsidP="0068635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Faltas </w:t>
            </w:r>
            <w:r w:rsidR="008F182D">
              <w:rPr>
                <w:rFonts w:cstheme="minorHAnsi"/>
                <w:lang w:val="es-ES"/>
              </w:rPr>
              <w:t>graves de</w:t>
            </w:r>
            <w:r>
              <w:rPr>
                <w:rFonts w:cstheme="minorHAnsi"/>
                <w:lang w:val="es-ES"/>
              </w:rPr>
              <w:t xml:space="preserve"> manera reiterativa </w:t>
            </w:r>
          </w:p>
          <w:p w:rsidR="001D25FA" w:rsidRDefault="001D25FA" w:rsidP="0068635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Acoso sexual a los compañeros del sexo opuesto o el mismo sexo. </w:t>
            </w:r>
          </w:p>
          <w:p w:rsidR="0068635F" w:rsidRPr="0068635F" w:rsidRDefault="001D25FA" w:rsidP="0068635F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Faltas que la comisión de </w:t>
            </w:r>
            <w:r w:rsidR="008F182D">
              <w:rPr>
                <w:rFonts w:cstheme="minorHAnsi"/>
                <w:lang w:val="es-ES"/>
              </w:rPr>
              <w:t>disciplina determine</w:t>
            </w:r>
            <w:r>
              <w:rPr>
                <w:rFonts w:cstheme="minorHAnsi"/>
                <w:lang w:val="es-ES"/>
              </w:rPr>
              <w:t xml:space="preserve">. </w:t>
            </w:r>
          </w:p>
        </w:tc>
      </w:tr>
    </w:tbl>
    <w:p w:rsidR="00302E8A" w:rsidRDefault="00302E8A" w:rsidP="00302E8A">
      <w:pPr>
        <w:jc w:val="center"/>
        <w:rPr>
          <w:sz w:val="28"/>
          <w:lang w:val="es-ES"/>
        </w:rPr>
      </w:pPr>
    </w:p>
    <w:p w:rsidR="008F182D" w:rsidRPr="008F182D" w:rsidRDefault="008F182D" w:rsidP="00302E8A">
      <w:pPr>
        <w:jc w:val="center"/>
        <w:rPr>
          <w:b/>
          <w:sz w:val="28"/>
          <w:lang w:val="es-ES"/>
        </w:rPr>
      </w:pPr>
      <w:r w:rsidRPr="008F182D">
        <w:rPr>
          <w:b/>
          <w:sz w:val="28"/>
          <w:lang w:val="es-ES"/>
        </w:rPr>
        <w:t xml:space="preserve">COMISION DE DISCIPLINA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5381"/>
      </w:tblGrid>
      <w:tr w:rsidR="008F182D" w:rsidTr="008F182D">
        <w:tc>
          <w:tcPr>
            <w:tcW w:w="988" w:type="dxa"/>
            <w:shd w:val="clear" w:color="auto" w:fill="FFFF00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N°</w:t>
            </w:r>
          </w:p>
        </w:tc>
        <w:tc>
          <w:tcPr>
            <w:tcW w:w="2126" w:type="dxa"/>
            <w:shd w:val="clear" w:color="auto" w:fill="FFFF00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Integrantes </w:t>
            </w:r>
          </w:p>
        </w:tc>
        <w:tc>
          <w:tcPr>
            <w:tcW w:w="5381" w:type="dxa"/>
            <w:shd w:val="clear" w:color="auto" w:fill="FFFF00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Nombres </w:t>
            </w:r>
          </w:p>
        </w:tc>
      </w:tr>
      <w:tr w:rsidR="008F182D" w:rsidTr="008F182D">
        <w:tc>
          <w:tcPr>
            <w:tcW w:w="988" w:type="dxa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01</w:t>
            </w:r>
          </w:p>
        </w:tc>
        <w:tc>
          <w:tcPr>
            <w:tcW w:w="2126" w:type="dxa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Presidente </w:t>
            </w:r>
          </w:p>
        </w:tc>
        <w:tc>
          <w:tcPr>
            <w:tcW w:w="5381" w:type="dxa"/>
          </w:tcPr>
          <w:p w:rsidR="008F182D" w:rsidRDefault="008F182D" w:rsidP="008F182D">
            <w:pPr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Directora de la </w:t>
            </w:r>
            <w:proofErr w:type="gramStart"/>
            <w:r>
              <w:rPr>
                <w:sz w:val="28"/>
                <w:lang w:val="es-ES"/>
              </w:rPr>
              <w:t>I.E .</w:t>
            </w:r>
            <w:proofErr w:type="gramEnd"/>
            <w:r>
              <w:rPr>
                <w:sz w:val="28"/>
                <w:lang w:val="es-ES"/>
              </w:rPr>
              <w:t xml:space="preserve"> Dra. Alicia Chávarry </w:t>
            </w:r>
          </w:p>
        </w:tc>
      </w:tr>
      <w:tr w:rsidR="008F182D" w:rsidTr="008F182D">
        <w:tc>
          <w:tcPr>
            <w:tcW w:w="988" w:type="dxa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02</w:t>
            </w:r>
          </w:p>
        </w:tc>
        <w:tc>
          <w:tcPr>
            <w:tcW w:w="2126" w:type="dxa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Secretaria </w:t>
            </w:r>
          </w:p>
        </w:tc>
        <w:tc>
          <w:tcPr>
            <w:tcW w:w="5381" w:type="dxa"/>
          </w:tcPr>
          <w:p w:rsidR="008F182D" w:rsidRDefault="008F182D" w:rsidP="008F182D">
            <w:pPr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Secretaria de la I.E. Rina </w:t>
            </w:r>
            <w:proofErr w:type="spellStart"/>
            <w:r>
              <w:rPr>
                <w:sz w:val="28"/>
                <w:lang w:val="es-ES"/>
              </w:rPr>
              <w:t>Pretel</w:t>
            </w:r>
            <w:proofErr w:type="spellEnd"/>
            <w:r>
              <w:rPr>
                <w:sz w:val="28"/>
                <w:lang w:val="es-ES"/>
              </w:rPr>
              <w:t xml:space="preserve"> </w:t>
            </w:r>
          </w:p>
        </w:tc>
      </w:tr>
      <w:tr w:rsidR="008F182D" w:rsidTr="008F182D">
        <w:tc>
          <w:tcPr>
            <w:tcW w:w="988" w:type="dxa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03 </w:t>
            </w:r>
          </w:p>
        </w:tc>
        <w:tc>
          <w:tcPr>
            <w:tcW w:w="2126" w:type="dxa"/>
            <w:vMerge w:val="restart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</w:p>
          <w:p w:rsidR="008F182D" w:rsidRDefault="008F182D" w:rsidP="008F182D">
            <w:pPr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        Vocales </w:t>
            </w:r>
          </w:p>
        </w:tc>
        <w:tc>
          <w:tcPr>
            <w:tcW w:w="5381" w:type="dxa"/>
          </w:tcPr>
          <w:p w:rsidR="008F182D" w:rsidRDefault="008F182D" w:rsidP="008F182D">
            <w:pPr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Pastor de la I.E. Gerson Bejarano </w:t>
            </w:r>
          </w:p>
        </w:tc>
      </w:tr>
      <w:tr w:rsidR="008F182D" w:rsidTr="008F182D">
        <w:tc>
          <w:tcPr>
            <w:tcW w:w="988" w:type="dxa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04</w:t>
            </w:r>
          </w:p>
        </w:tc>
        <w:tc>
          <w:tcPr>
            <w:tcW w:w="2126" w:type="dxa"/>
            <w:vMerge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</w:p>
        </w:tc>
        <w:tc>
          <w:tcPr>
            <w:tcW w:w="5381" w:type="dxa"/>
          </w:tcPr>
          <w:p w:rsidR="008F182D" w:rsidRDefault="008F182D" w:rsidP="008F182D">
            <w:pPr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Psicóloga de la I.E. </w:t>
            </w:r>
            <w:proofErr w:type="spellStart"/>
            <w:r>
              <w:rPr>
                <w:sz w:val="28"/>
                <w:lang w:val="es-ES"/>
              </w:rPr>
              <w:t>Maria</w:t>
            </w:r>
            <w:proofErr w:type="spellEnd"/>
            <w:r>
              <w:rPr>
                <w:sz w:val="28"/>
                <w:lang w:val="es-ES"/>
              </w:rPr>
              <w:t xml:space="preserve"> Tuco </w:t>
            </w:r>
          </w:p>
        </w:tc>
      </w:tr>
      <w:tr w:rsidR="008F182D" w:rsidTr="008F182D">
        <w:tc>
          <w:tcPr>
            <w:tcW w:w="988" w:type="dxa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05</w:t>
            </w:r>
          </w:p>
        </w:tc>
        <w:tc>
          <w:tcPr>
            <w:tcW w:w="2126" w:type="dxa"/>
            <w:vMerge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</w:p>
        </w:tc>
        <w:tc>
          <w:tcPr>
            <w:tcW w:w="5381" w:type="dxa"/>
          </w:tcPr>
          <w:p w:rsidR="008F182D" w:rsidRDefault="008F182D" w:rsidP="008F182D">
            <w:pPr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Tesorera: Deisy </w:t>
            </w:r>
            <w:proofErr w:type="spellStart"/>
            <w:r>
              <w:rPr>
                <w:sz w:val="28"/>
                <w:lang w:val="es-ES"/>
              </w:rPr>
              <w:t>Bernales</w:t>
            </w:r>
            <w:proofErr w:type="spellEnd"/>
            <w:r>
              <w:rPr>
                <w:sz w:val="28"/>
                <w:lang w:val="es-ES"/>
              </w:rPr>
              <w:t xml:space="preserve"> </w:t>
            </w:r>
          </w:p>
        </w:tc>
      </w:tr>
      <w:tr w:rsidR="008F182D" w:rsidTr="008F182D">
        <w:tc>
          <w:tcPr>
            <w:tcW w:w="988" w:type="dxa"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>06</w:t>
            </w:r>
          </w:p>
        </w:tc>
        <w:tc>
          <w:tcPr>
            <w:tcW w:w="2126" w:type="dxa"/>
            <w:vMerge/>
          </w:tcPr>
          <w:p w:rsidR="008F182D" w:rsidRDefault="008F182D" w:rsidP="00302E8A">
            <w:pPr>
              <w:jc w:val="center"/>
              <w:rPr>
                <w:sz w:val="28"/>
                <w:lang w:val="es-ES"/>
              </w:rPr>
            </w:pPr>
          </w:p>
        </w:tc>
        <w:tc>
          <w:tcPr>
            <w:tcW w:w="5381" w:type="dxa"/>
          </w:tcPr>
          <w:p w:rsidR="008F182D" w:rsidRDefault="008F182D" w:rsidP="008F182D">
            <w:pPr>
              <w:rPr>
                <w:sz w:val="28"/>
                <w:lang w:val="es-ES"/>
              </w:rPr>
            </w:pPr>
            <w:r>
              <w:rPr>
                <w:sz w:val="28"/>
                <w:lang w:val="es-ES"/>
              </w:rPr>
              <w:t xml:space="preserve">Tutor(es) del o los estudiantes implicados </w:t>
            </w:r>
          </w:p>
        </w:tc>
      </w:tr>
    </w:tbl>
    <w:p w:rsidR="008F182D" w:rsidRPr="00302E8A" w:rsidRDefault="008F182D" w:rsidP="00302E8A">
      <w:pPr>
        <w:jc w:val="center"/>
        <w:rPr>
          <w:sz w:val="28"/>
          <w:lang w:val="es-ES"/>
        </w:rPr>
      </w:pPr>
    </w:p>
    <w:sectPr w:rsidR="008F182D" w:rsidRPr="00302E8A" w:rsidSect="00034F0D">
      <w:headerReference w:type="default" r:id="rId7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3E" w:rsidRDefault="0099613E" w:rsidP="001D25FA">
      <w:pPr>
        <w:spacing w:after="0" w:line="240" w:lineRule="auto"/>
      </w:pPr>
      <w:r>
        <w:separator/>
      </w:r>
    </w:p>
  </w:endnote>
  <w:endnote w:type="continuationSeparator" w:id="0">
    <w:p w:rsidR="0099613E" w:rsidRDefault="0099613E" w:rsidP="001D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3E" w:rsidRDefault="0099613E" w:rsidP="001D25FA">
      <w:pPr>
        <w:spacing w:after="0" w:line="240" w:lineRule="auto"/>
      </w:pPr>
      <w:r>
        <w:separator/>
      </w:r>
    </w:p>
  </w:footnote>
  <w:footnote w:type="continuationSeparator" w:id="0">
    <w:p w:rsidR="0099613E" w:rsidRDefault="0099613E" w:rsidP="001D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5FA" w:rsidRDefault="001D25FA">
    <w:pPr>
      <w:pStyle w:val="Encabezado"/>
    </w:pPr>
    <w:r w:rsidRPr="001D25FA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9298C95" wp14:editId="4A031B0D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55230" cy="857250"/>
          <wp:effectExtent l="0" t="0" r="7620" b="0"/>
          <wp:wrapNone/>
          <wp:docPr id="1" name="Imagen 2" descr="Interfaz de usuario gráfica,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844341" name="Imagen 2" descr="Interfaz de usuario gráfica, 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023" b="44414"/>
                  <a:stretch/>
                </pic:blipFill>
                <pic:spPr bwMode="auto">
                  <a:xfrm>
                    <a:off x="0" y="0"/>
                    <a:ext cx="755523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65076"/>
    <w:multiLevelType w:val="hybridMultilevel"/>
    <w:tmpl w:val="6D4EEAD2"/>
    <w:lvl w:ilvl="0" w:tplc="40324E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8A"/>
    <w:rsid w:val="00034F0D"/>
    <w:rsid w:val="001D25FA"/>
    <w:rsid w:val="00302E8A"/>
    <w:rsid w:val="0068635F"/>
    <w:rsid w:val="008F182D"/>
    <w:rsid w:val="0099613E"/>
    <w:rsid w:val="00E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ED555"/>
  <w15:chartTrackingRefBased/>
  <w15:docId w15:val="{85F0F57E-9F2D-4C21-8CCB-5F7BF0B0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863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D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5FA"/>
  </w:style>
  <w:style w:type="paragraph" w:styleId="Piedepgina">
    <w:name w:val="footer"/>
    <w:basedOn w:val="Normal"/>
    <w:link w:val="PiedepginaCar"/>
    <w:uiPriority w:val="99"/>
    <w:unhideWhenUsed/>
    <w:rsid w:val="001D25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304</Words>
  <Characters>1602</Characters>
  <Application>Microsoft Office Word</Application>
  <DocSecurity>0</DocSecurity>
  <Lines>75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2024-09-10T02:14:00Z</dcterms:created>
  <dcterms:modified xsi:type="dcterms:W3CDTF">2024-09-10T02:54:00Z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cfb5f652-f1de-4f45-89cd-d19c9e584fb0</vt:lpwstr>
  </property>
</Properties>
</file>